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0E72EC" w:rsidRDefault="00A82653" w:rsidP="00655B21">
      <w:pPr>
        <w:rPr>
          <w:sz w:val="20"/>
          <w:szCs w:val="20"/>
        </w:rPr>
      </w:pPr>
    </w:p>
    <w:p w14:paraId="2C719DBC" w14:textId="77777777" w:rsidR="00A4470D" w:rsidRPr="000E72EC" w:rsidRDefault="00A4470D" w:rsidP="00024905">
      <w:pPr>
        <w:suppressAutoHyphens/>
        <w:jc w:val="center"/>
        <w:rPr>
          <w:b/>
          <w:bCs/>
        </w:rPr>
      </w:pPr>
    </w:p>
    <w:p w14:paraId="08BF6894" w14:textId="54DF1662" w:rsidR="006D36F8" w:rsidRPr="000E72EC" w:rsidRDefault="00746DAB" w:rsidP="00024905">
      <w:pPr>
        <w:suppressAutoHyphens/>
        <w:jc w:val="center"/>
        <w:rPr>
          <w:b/>
          <w:sz w:val="20"/>
          <w:szCs w:val="20"/>
        </w:rPr>
      </w:pPr>
      <w:r w:rsidRPr="000E72EC">
        <w:rPr>
          <w:b/>
          <w:sz w:val="20"/>
          <w:szCs w:val="20"/>
        </w:rPr>
        <w:t>System</w:t>
      </w:r>
      <w:r w:rsidR="00E53070" w:rsidRPr="000E72EC">
        <w:rPr>
          <w:b/>
          <w:sz w:val="20"/>
          <w:szCs w:val="20"/>
        </w:rPr>
        <w:t xml:space="preserve"> </w:t>
      </w:r>
      <w:r w:rsidRPr="000E72EC">
        <w:rPr>
          <w:b/>
          <w:sz w:val="20"/>
          <w:szCs w:val="20"/>
        </w:rPr>
        <w:t>monitorowania hemodynamicznego</w:t>
      </w:r>
      <w:r w:rsidR="00E53070" w:rsidRPr="000E72EC">
        <w:rPr>
          <w:b/>
          <w:sz w:val="20"/>
          <w:szCs w:val="20"/>
        </w:rPr>
        <w:t xml:space="preserve"> z wyposażeniem – 1 zestaw </w:t>
      </w:r>
    </w:p>
    <w:p w14:paraId="3971E6F9" w14:textId="77777777" w:rsidR="000B20AC" w:rsidRPr="000E72EC" w:rsidRDefault="000B20A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0E72EC" w:rsidRPr="000E72EC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0E72E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0E72EC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0E72EC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E72E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E72EC" w:rsidRPr="000E72EC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0E72EC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0E72EC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E72E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0E72E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0E72E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0E72EC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0353FFE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7049B" w14:textId="6689F36D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sprzęt i oprogramowanie systemu hemodynamicznego — obejmujące zaawansowane aplikacje kliniczne do wyświetlania, rejestrowania, analizy i dokumentacji danych klinicznych i zdarzeń podczas badań hemodynamicznych pacjentów dorosłych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0AC51977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8BF1" w14:textId="77777777" w:rsidR="000F4CE4" w:rsidRPr="000E72EC" w:rsidRDefault="000F4CE4" w:rsidP="000F4CE4">
            <w:pPr>
              <w:spacing w:after="28" w:line="307" w:lineRule="auto"/>
              <w:jc w:val="both"/>
            </w:pPr>
            <w:r w:rsidRPr="000E72EC">
              <w:t xml:space="preserve">Komputer sterujący zgodny z wymaganiami producenta oprogramowania i systemu skonfigurowany do instalacji   w sali zabiegowej ze sterownią wyposażony w monitory i oprogramowanie:  </w:t>
            </w:r>
          </w:p>
          <w:p w14:paraId="24952F1B" w14:textId="61C87003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monitory w Sali badań TFT </w:t>
            </w:r>
            <w:proofErr w:type="spellStart"/>
            <w:r w:rsidRPr="000E72EC">
              <w:rPr>
                <w:i/>
              </w:rPr>
              <w:t>Widescreen</w:t>
            </w:r>
            <w:proofErr w:type="spellEnd"/>
            <w:r w:rsidRPr="000E72EC">
              <w:t xml:space="preserve"> o przekątnej </w:t>
            </w:r>
            <w:r w:rsidR="000B20AC" w:rsidRPr="000E72EC">
              <w:t xml:space="preserve">min. </w:t>
            </w:r>
            <w:r w:rsidRPr="000E72EC">
              <w:t xml:space="preserve">24” wysokiej rozdzielczości 1920 x 1200 (/x2)  oprogramowanie hemodynamiczne w wersji </w:t>
            </w:r>
            <w:proofErr w:type="spellStart"/>
            <w:r w:rsidRPr="000E72EC">
              <w:t>AltiX</w:t>
            </w:r>
            <w:proofErr w:type="spellEnd"/>
            <w:r w:rsidRPr="000E72EC">
              <w:t xml:space="preserve"> BT22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44835618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EF16E" w14:textId="101425FA" w:rsidR="000F4CE4" w:rsidRPr="000E72EC" w:rsidRDefault="000F4CE4" w:rsidP="000F4CE4">
            <w:pPr>
              <w:spacing w:after="57" w:line="259" w:lineRule="auto"/>
              <w:jc w:val="both"/>
            </w:pPr>
            <w:r w:rsidRPr="000E72EC">
              <w:t xml:space="preserve">Komputer sterujący rejestracji danych </w:t>
            </w:r>
            <w:r w:rsidR="009E5E00" w:rsidRPr="000E72EC">
              <w:t xml:space="preserve">w obudowie </w:t>
            </w:r>
            <w:r w:rsidR="001E2880" w:rsidRPr="000E72EC">
              <w:t>Tower</w:t>
            </w:r>
            <w:r w:rsidR="009E5E00" w:rsidRPr="000E72EC">
              <w:t xml:space="preserve"> </w:t>
            </w:r>
            <w:r w:rsidRPr="000E72EC">
              <w:t xml:space="preserve">o parametrach technicznych:  </w:t>
            </w:r>
          </w:p>
          <w:p w14:paraId="2D173FDD" w14:textId="7DF8065A" w:rsidR="009E5E00" w:rsidRPr="000E72EC" w:rsidRDefault="001E288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2" w:line="259" w:lineRule="auto"/>
              <w:ind w:hanging="360"/>
              <w:jc w:val="both"/>
            </w:pPr>
            <w:r w:rsidRPr="000E72EC">
              <w:t>P</w:t>
            </w:r>
            <w:r w:rsidR="000F4CE4" w:rsidRPr="000E72EC">
              <w:t xml:space="preserve">rocesor </w:t>
            </w:r>
            <w:r w:rsidR="009E5E00" w:rsidRPr="000E72EC">
              <w:t xml:space="preserve">serwerowy przystosowany do pracy ciągłej osiągający w teście </w:t>
            </w:r>
            <w:proofErr w:type="spellStart"/>
            <w:r w:rsidR="009E5E00" w:rsidRPr="000E72EC">
              <w:t>Passmark</w:t>
            </w:r>
            <w:proofErr w:type="spellEnd"/>
            <w:r w:rsidR="009E5E00" w:rsidRPr="000E72EC">
              <w:t xml:space="preserve"> CPU Mark, w kategorii </w:t>
            </w:r>
            <w:proofErr w:type="spellStart"/>
            <w:r w:rsidR="009E5E00" w:rsidRPr="000E72EC">
              <w:t>Average</w:t>
            </w:r>
            <w:proofErr w:type="spellEnd"/>
            <w:r w:rsidR="009E5E00" w:rsidRPr="000E72EC">
              <w:t xml:space="preserve"> CPU Mark wynik co najmniej </w:t>
            </w:r>
            <w:r w:rsidRPr="000E72EC">
              <w:t>32 000</w:t>
            </w:r>
            <w:r w:rsidR="009E5E00" w:rsidRPr="000E72EC">
              <w:t xml:space="preserve"> pkt. W kategorii </w:t>
            </w:r>
            <w:proofErr w:type="spellStart"/>
            <w:r w:rsidR="009E5E00" w:rsidRPr="000E72EC">
              <w:t>Multithread</w:t>
            </w:r>
            <w:proofErr w:type="spellEnd"/>
            <w:r w:rsidR="009E5E00" w:rsidRPr="000E72EC">
              <w:t xml:space="preserve"> Rating według wyników opublikowanych na stronie http://www.cpubenchmark.net/cpu_list.php. </w:t>
            </w:r>
            <w:r w:rsidRPr="000E72EC">
              <w:lastRenderedPageBreak/>
              <w:t>Minimum 10 rdzeni, 20 wątków o taktowaniu minimum 3.1 GHz. W trybie Turbo 4.6 GHz.</w:t>
            </w:r>
          </w:p>
          <w:p w14:paraId="7BB9831C" w14:textId="421E4B5E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dysk twardy </w:t>
            </w:r>
            <w:r w:rsidR="009E5E00" w:rsidRPr="000E72EC">
              <w:t xml:space="preserve">minimum </w:t>
            </w:r>
            <w:r w:rsidRPr="000E72EC">
              <w:t>SSD 512 GB</w:t>
            </w:r>
            <w:r w:rsidR="001E2880" w:rsidRPr="000E72EC">
              <w:t xml:space="preserve"> + Dysk HDD minimum 1TB</w:t>
            </w:r>
          </w:p>
          <w:p w14:paraId="16E7BCB7" w14:textId="28CA75A8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5" w:line="259" w:lineRule="auto"/>
              <w:ind w:hanging="360"/>
              <w:jc w:val="both"/>
            </w:pPr>
            <w:r w:rsidRPr="000E72EC">
              <w:t xml:space="preserve">napęd DVD RW, napęd SDHC   </w:t>
            </w:r>
          </w:p>
          <w:p w14:paraId="7A106AB8" w14:textId="34DCE6C4" w:rsidR="00C04C6B" w:rsidRPr="000E72EC" w:rsidRDefault="00C04C6B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5" w:line="259" w:lineRule="auto"/>
              <w:ind w:hanging="360"/>
              <w:jc w:val="both"/>
            </w:pPr>
            <w:r w:rsidRPr="000E72EC">
              <w:t>Pamięć RAM minimum 32GB GDDR5 (minimum 4800 MHz)</w:t>
            </w:r>
          </w:p>
          <w:p w14:paraId="533F6F8D" w14:textId="2ECBF119" w:rsidR="000F4CE4" w:rsidRPr="000E72EC" w:rsidRDefault="009E5E0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Licencja serwerowa na system SQL kompatybilna z posiadanym przez zamawiającego systemem (minimum w wersji) </w:t>
            </w:r>
            <w:r w:rsidR="000F4CE4" w:rsidRPr="000E72EC">
              <w:t xml:space="preserve">MS SQL Server® 2019   </w:t>
            </w:r>
          </w:p>
          <w:p w14:paraId="43A76178" w14:textId="072B75BE" w:rsidR="000F4CE4" w:rsidRPr="000E72EC" w:rsidRDefault="001E288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  <w:rPr>
                <w:strike/>
              </w:rPr>
            </w:pPr>
            <w:r w:rsidRPr="000E72EC">
              <w:t>Zainstalowany system operacyjny w wersji „pro” (najnowsza wspierana wersja) w pełni kompatybilny z posiadanym środowiskiem domenowym Microsoft Windows Serwer, klucz licencyjny zapisany trwale w BIOS, umożliwiać instalację systemu operacyjnego bez potrzeby ręcznego wpisywania klucza licencyjnego.</w:t>
            </w:r>
          </w:p>
          <w:p w14:paraId="07530BFE" w14:textId="320ED9C8" w:rsidR="000F4CE4" w:rsidRPr="000E72EC" w:rsidRDefault="009E5E00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0" w:line="259" w:lineRule="auto"/>
              <w:ind w:hanging="360"/>
              <w:jc w:val="both"/>
            </w:pPr>
            <w:r w:rsidRPr="000E72EC">
              <w:t xml:space="preserve">Pakiet Office kompatybilny z posiadanym przez zamawiającego </w:t>
            </w:r>
            <w:r w:rsidR="000F4CE4" w:rsidRPr="000E72EC">
              <w:t>Microsoft Office</w:t>
            </w:r>
            <w:r w:rsidRPr="000E72EC">
              <w:t xml:space="preserve"> Standard</w:t>
            </w:r>
            <w:r w:rsidR="000F4CE4" w:rsidRPr="000E72EC">
              <w:t xml:space="preserve"> </w:t>
            </w:r>
            <w:r w:rsidRPr="000E72EC">
              <w:t>2024</w:t>
            </w:r>
          </w:p>
          <w:p w14:paraId="17FFC91F" w14:textId="77777777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2" w:line="259" w:lineRule="auto"/>
              <w:ind w:hanging="360"/>
              <w:jc w:val="both"/>
            </w:pPr>
            <w:r w:rsidRPr="000E72EC">
              <w:t xml:space="preserve">dedykowana klawiatura </w:t>
            </w:r>
            <w:proofErr w:type="spellStart"/>
            <w:r w:rsidRPr="000E72EC">
              <w:rPr>
                <w:i/>
              </w:rPr>
              <w:t>ClearView</w:t>
            </w:r>
            <w:proofErr w:type="spellEnd"/>
            <w:r w:rsidRPr="000E72EC">
              <w:t xml:space="preserve">, mysz komputerowa   </w:t>
            </w:r>
          </w:p>
          <w:p w14:paraId="4AD3666E" w14:textId="77777777" w:rsidR="000F4CE4" w:rsidRPr="000E72EC" w:rsidRDefault="000F4CE4" w:rsidP="000F4CE4">
            <w:pPr>
              <w:widowControl/>
              <w:numPr>
                <w:ilvl w:val="0"/>
                <w:numId w:val="9"/>
              </w:numPr>
              <w:autoSpaceDE/>
              <w:autoSpaceDN/>
              <w:spacing w:after="43" w:line="259" w:lineRule="auto"/>
              <w:ind w:hanging="360"/>
              <w:jc w:val="both"/>
            </w:pPr>
            <w:r w:rsidRPr="000E72EC">
              <w:t xml:space="preserve">zasilacz UPS   </w:t>
            </w:r>
          </w:p>
          <w:p w14:paraId="1ADECEDD" w14:textId="2B0D5E55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moduł transmisji sygnałów video HD Hub w standardzie HDMI/DVI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001912E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048A673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8AA96" w14:textId="4946B0A4" w:rsidR="000F4CE4" w:rsidRPr="000E72EC" w:rsidRDefault="000F4CE4" w:rsidP="000F4CE4">
            <w:pPr>
              <w:spacing w:after="71" w:line="259" w:lineRule="auto"/>
              <w:jc w:val="both"/>
            </w:pPr>
            <w:r w:rsidRPr="000E72EC">
              <w:t xml:space="preserve">Monitory w sterowni typu TFT </w:t>
            </w:r>
            <w:proofErr w:type="spellStart"/>
            <w:r w:rsidRPr="000E72EC">
              <w:rPr>
                <w:i/>
              </w:rPr>
              <w:t>Widescreen</w:t>
            </w:r>
            <w:proofErr w:type="spellEnd"/>
            <w:r w:rsidRPr="000E72EC">
              <w:t xml:space="preserve"> o przekątnej </w:t>
            </w:r>
            <w:r w:rsidR="000B20AC" w:rsidRPr="000E72EC">
              <w:t xml:space="preserve">min. </w:t>
            </w:r>
            <w:r w:rsidRPr="000E72EC">
              <w:t xml:space="preserve">24”, rozdzielczość 1920 x 1200 (/x2):  </w:t>
            </w:r>
          </w:p>
          <w:p w14:paraId="0AE50FD1" w14:textId="77777777" w:rsidR="000F4CE4" w:rsidRPr="000E72EC" w:rsidRDefault="000F4CE4" w:rsidP="000F4CE4">
            <w:pPr>
              <w:widowControl/>
              <w:numPr>
                <w:ilvl w:val="0"/>
                <w:numId w:val="10"/>
              </w:numPr>
              <w:autoSpaceDE/>
              <w:autoSpaceDN/>
              <w:spacing w:after="71" w:line="259" w:lineRule="auto"/>
              <w:ind w:hanging="127"/>
              <w:jc w:val="both"/>
            </w:pPr>
            <w:r w:rsidRPr="000E72EC">
              <w:t xml:space="preserve">monitor przebiegów dynamicznych do prezentacji mierzonych wartości  </w:t>
            </w:r>
          </w:p>
          <w:p w14:paraId="4E19DECF" w14:textId="109C77CE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monitor dialogowy i analizy do komunikacji z systemem komputerowym stacji badań hemodynamicznych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0F4CE4" w:rsidRPr="000E72EC" w:rsidRDefault="000F4CE4" w:rsidP="000F4CE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A89D044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29A24" w14:textId="5DACDA1F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Baza danych umożliwiająca przechowywanie wyników badań: danych demograficznych pacjentów wraz   z zarejestrowanymi przynależnymi przebiegami EKG, przebiegami ciśnień inwazyjnych oraz innymi mierzonymi parametrami, z wyliczonymi wskaźnikami, krzywymi, protokołami badań dla minimum 100 pacjentów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131426C6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61E5" w14:textId="4B38D19F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bookmarkStart w:id="0" w:name="_GoBack"/>
            <w:r w:rsidRPr="000E72EC">
              <w:t xml:space="preserve">Oprogramowanie do obliczania parametrów hemodynamicznych </w:t>
            </w:r>
            <w:bookmarkEnd w:id="0"/>
            <w:r w:rsidRPr="000E72EC">
              <w:t xml:space="preserve">(lewe i prawe serce dla dorosłych i dzieci), w tym: gradienty ciśnień, powierzchnie otwarcia zastawek, przecieki między jamowe, rzut minutowy serca metodą TDCO i Ficka, zintegrowany pomiar FFR i DFR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6DC07462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619C2327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2A6A" w14:textId="5DCE8BFD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E72EC">
              <w:t xml:space="preserve">Dostęp do protokołów badań oraz możliwość definiowania własnych protokołów badań tzw. makr postepowania wykorzystywanych podczas zabiegów interwencyjnych zgodnie z wytycznymi i zaleceniami pracowni hemodynamicznej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5BD9CFB1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CDC518B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5997F" w14:textId="57DD50D6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Automatyczne konfigurowanie stron ekranów pod kątem przeprowadzanych procedur mające na celu szybkie dopasowanie ekranów co najmniej dla: badań PCI/PCI-FFR, badań pediatrycznych, badania lewego i prawego serca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323CE1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F91B" w14:textId="77777777" w:rsidR="000F4CE4" w:rsidRPr="000E72EC" w:rsidRDefault="000F4CE4" w:rsidP="000F4CE4">
            <w:pPr>
              <w:spacing w:after="81" w:line="259" w:lineRule="auto"/>
              <w:jc w:val="both"/>
            </w:pPr>
            <w:r w:rsidRPr="000E72EC">
              <w:t xml:space="preserve">Interfejs użytkownika z funkcją definiowania ustawień przebiegów hemodynamicznych w zakresie regulacji parametrów:   </w:t>
            </w:r>
          </w:p>
          <w:p w14:paraId="1557E1C3" w14:textId="35CB7912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E72EC">
              <w:t xml:space="preserve">intensywności / natężenia wyświetlania przebiegów EKG i ciśnień inwazyjnych,  regulacji poziomej i pionowej szerokości wzorca sygnałów EKG i ciśnień inwazyjnych IBP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59EE616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5CED" w14:textId="59F06F78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Moduł raportów hemodynamicznych, dowolnie konfigurowanych wg typu badania, możliwość kreacji szablonów badań, eksport danych w formacji MS Word lub PDF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29BED6C7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2E8C5C4E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49C7" w14:textId="77F136D1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Archiwizacja mierzonych przebiegów na DVD lub kartach SD lub dysku sieciowym z poziomu oprogramowania do badań hemodynamicznych. Możliwość zapisu badań więcej niż jednego pacjenta na jednym dysku DVD lub SD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221FA0D9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672023E3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2A36" w14:textId="7BD0E32A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0E72EC">
              <w:t xml:space="preserve">Moduł hemodynamicznym PDM z możliwością wykonywania pomiarów: EKG, SpO2, ciśnień inwazyjnych IBP (4 </w:t>
            </w:r>
            <w:proofErr w:type="spellStart"/>
            <w:r w:rsidRPr="000E72EC">
              <w:t>wej</w:t>
            </w:r>
            <w:proofErr w:type="spellEnd"/>
            <w:r w:rsidRPr="000E72EC">
              <w:t xml:space="preserve">.), ciśnienia nieinwazyjnego NIBP, rzutu minutowego serca metodą </w:t>
            </w:r>
            <w:proofErr w:type="spellStart"/>
            <w:r w:rsidRPr="000E72EC">
              <w:t>termodylucji</w:t>
            </w:r>
            <w:proofErr w:type="spellEnd"/>
            <w:r w:rsidRPr="000E72EC">
              <w:t xml:space="preserve"> TDCO, Temperatury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4836D1C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31DC609C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CFD1" w14:textId="17A7AA30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0E72EC">
              <w:t xml:space="preserve">UPS dla stacji badań hemodynamicznych umożliwiający w przypadku zaniku zasilania zapisanie w pamięci zmierzonych krzywych/ wyliczonych parametrów hemodynamicznych. UPS zabezpieczający całą część komputerową aparatu przed utratą danych w przypadku zaniku napięcia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708D0D2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E72EC" w:rsidRPr="000E72EC" w14:paraId="16E4C5CB" w14:textId="77777777" w:rsidTr="007B418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0F4CE4" w:rsidRPr="000E72EC" w:rsidRDefault="000F4CE4" w:rsidP="000F4CE4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35D92" w14:textId="1638A485" w:rsidR="000F4CE4" w:rsidRPr="000E72EC" w:rsidRDefault="000F4CE4" w:rsidP="000F4CE4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0E72EC">
              <w:t xml:space="preserve">Interfejs eksportu danych i raportów HL7 do systemu szpitalnego (bez zapewnienia usługi podłączenia), wsparcie standardu MLLP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0F4CE4" w:rsidRPr="000E72EC" w:rsidRDefault="000F4CE4" w:rsidP="000F4CE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E72E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0F4CE4" w:rsidRPr="000E72EC" w:rsidRDefault="000F4CE4" w:rsidP="000F4CE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0E72EC" w:rsidRDefault="00751FE2">
      <w:pPr>
        <w:rPr>
          <w:sz w:val="20"/>
          <w:szCs w:val="20"/>
        </w:rPr>
      </w:pPr>
    </w:p>
    <w:sectPr w:rsidR="00751FE2" w:rsidRPr="000E72EC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4E39D41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C4F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609B0"/>
    <w:multiLevelType w:val="hybridMultilevel"/>
    <w:tmpl w:val="98520AC6"/>
    <w:lvl w:ilvl="0" w:tplc="B7920E5A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00008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C78D1D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9B09C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702D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6893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26D8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7CC9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9487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1D5C7F"/>
    <w:multiLevelType w:val="hybridMultilevel"/>
    <w:tmpl w:val="98544C6A"/>
    <w:lvl w:ilvl="0" w:tplc="D7F46B80">
      <w:start w:val="1"/>
      <w:numFmt w:val="bullet"/>
      <w:lvlText w:val="•"/>
      <w:lvlJc w:val="left"/>
      <w:pPr>
        <w:ind w:left="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D6C0B6">
      <w:start w:val="1"/>
      <w:numFmt w:val="bullet"/>
      <w:lvlText w:val="o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C5C27EC">
      <w:start w:val="1"/>
      <w:numFmt w:val="bullet"/>
      <w:lvlText w:val="▪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ACD962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646004">
      <w:start w:val="1"/>
      <w:numFmt w:val="bullet"/>
      <w:lvlText w:val="o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96465E6">
      <w:start w:val="1"/>
      <w:numFmt w:val="bullet"/>
      <w:lvlText w:val="▪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F0DD2C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2E4FB4">
      <w:start w:val="1"/>
      <w:numFmt w:val="bullet"/>
      <w:lvlText w:val="o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06D404">
      <w:start w:val="1"/>
      <w:numFmt w:val="bullet"/>
      <w:lvlText w:val="▪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0AC"/>
    <w:rsid w:val="000B237A"/>
    <w:rsid w:val="000B39C2"/>
    <w:rsid w:val="000C04A9"/>
    <w:rsid w:val="000D0F31"/>
    <w:rsid w:val="000D24B9"/>
    <w:rsid w:val="000D31D6"/>
    <w:rsid w:val="000D3C4F"/>
    <w:rsid w:val="000D45CF"/>
    <w:rsid w:val="000E142B"/>
    <w:rsid w:val="000E2F24"/>
    <w:rsid w:val="000E47D9"/>
    <w:rsid w:val="000E72EC"/>
    <w:rsid w:val="000F3B31"/>
    <w:rsid w:val="000F4CE4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2880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26B85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6DAB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5E00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4C6B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06DDE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3070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A189C-AA92-4B43-906B-5E6605EE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624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Magda Sienkiewicz</cp:lastModifiedBy>
  <cp:revision>9</cp:revision>
  <cp:lastPrinted>2024-11-14T08:47:00Z</cp:lastPrinted>
  <dcterms:created xsi:type="dcterms:W3CDTF">2025-07-14T07:28:00Z</dcterms:created>
  <dcterms:modified xsi:type="dcterms:W3CDTF">2025-08-19T10:39:00Z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